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3EB8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Настоящим Государственный комитет национальной безопасности Кыргызской Республики извещает о начале обсуждения правового регулирования и сборе предложений заинтересованных лиц.</w:t>
      </w:r>
    </w:p>
    <w:p w14:paraId="38CAFBAD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b/>
          <w:bCs/>
          <w:iCs w:val="0"/>
          <w:color w:val="3A4F66"/>
          <w:sz w:val="24"/>
          <w:szCs w:val="24"/>
        </w:rPr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14:paraId="5E25E5CD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В Кыргызстане достигнут значительный прогресс в области цифровизации, создания цифровых государственных сервисов и порталов электронных услуг, включая систему межведомственного электронного взаимодействия «Түндүк». На сегодня более 3 миллионов кыргызстанцев пользуются мобильным приложением «Тундук». К системе подключено свыше 60 государственных органов. При таком широком развитии цифровизации неизбежно повышается риск системных сбоев, утечек персональных данных, осуществления атак на новые информационные сервисы и, соответственно, экономического ущерба.</w:t>
      </w:r>
    </w:p>
    <w:p w14:paraId="6EEDCE06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Ежегодно фиксируется тенденция роста числа кибератак в мире в среднем на 30%. В основном атакам подвергаются телекоммуникационный, финансовый, а также государственные секторы.</w:t>
      </w:r>
    </w:p>
    <w:p w14:paraId="3405B33E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Большинство государственных информационных ресурсов, включая объекты критической информационной инфраструктуры, пользуются услугами аутсорсинга своей кибербезопасности, отсутствие регулирования деятельности и оценки доверия компаний, предоставляющих услуги кибербезопасности, создает серьезные риски для цифрового суверенитета Кыргызстана. Хранение и обработка данных в чужих юрисдикциях увеличивает риски утечки, неправомерного доступа или использования в политических/экономических целях.</w:t>
      </w:r>
    </w:p>
    <w:p w14:paraId="59BA1D20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b/>
          <w:bCs/>
          <w:iCs w:val="0"/>
          <w:color w:val="3A4F66"/>
          <w:sz w:val="24"/>
          <w:szCs w:val="24"/>
        </w:rPr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53FC3907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Целью проекта Закона является повышение качества предоставляемых услуг в сфере кибербезопасности, а также повышения уровня защищенности граждан и предпринимателей от кибер угроз.</w:t>
      </w:r>
    </w:p>
    <w:p w14:paraId="0E24AAAC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Внедрение института лицензирования отдельных вопросов обеспечения кибербезопасности позволит усилить способность государства контролировать вопросы защищенности цифровой инфраструктуры, данных и критических сервисов. В свою очередь это должно прямо повысить национальную безопасность, экономическую устойчивость и стратегическую независимость, снизить риски кибератак и потери контроля над информацией.</w:t>
      </w:r>
    </w:p>
    <w:p w14:paraId="2FB435E4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b/>
          <w:bCs/>
          <w:iCs w:val="0"/>
          <w:color w:val="3A4F66"/>
          <w:sz w:val="24"/>
          <w:szCs w:val="24"/>
        </w:rPr>
        <w:lastRenderedPageBreak/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2F844884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При внедрении предлагаемого регулирования предполагается, что до 2030 года произойдет значительное повышение кибербезопасности граждан и субъектов предпринимательства в Кыргызской Республике, что найдет свое отражение в сокращении количества случаев кибермошенничества на 20%, сокращению ущерба от киберпреступлений на 30% к 2030 году. Также будет сокращено количество сбоев критической информационной инфраструктуры, вызванных хакерскими атаками.</w:t>
      </w:r>
    </w:p>
    <w:p w14:paraId="00DEBDE2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За счет лицензирования услуг в области кибербезопасности государство увеличит долю отечественных компаний, предоставляющих услуги для государственных органов и организаций, что позволит сократить зависимость от зарубежных поставщиков и увеличить отечественный рынок услуг кибербезопасности на 250% к 2030 году. Также принятые меры приведут к повышению позиций Кыргызстана в международном рейтинге по кибербезопасности до 60 позиции.</w:t>
      </w:r>
    </w:p>
    <w:p w14:paraId="7C2736FA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b/>
          <w:bCs/>
          <w:iCs w:val="0"/>
          <w:color w:val="3A4F66"/>
          <w:sz w:val="24"/>
          <w:szCs w:val="24"/>
        </w:rP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14:paraId="077517A6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Неблагоприятных последствий от регулирования не предвидится.</w:t>
      </w:r>
    </w:p>
    <w:p w14:paraId="3218FFDE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b/>
          <w:bCs/>
          <w:iCs w:val="0"/>
          <w:color w:val="3A4F66"/>
          <w:sz w:val="24"/>
          <w:szCs w:val="24"/>
        </w:rPr>
        <w:t>5. Характеристика и оценка численности субъектов предпринимательства — адресатов предлагаемого регулирования:</w:t>
      </w:r>
    </w:p>
    <w:p w14:paraId="041CA2D9" w14:textId="77777777" w:rsidR="00CD7345" w:rsidRPr="00CD7345" w:rsidRDefault="00CD7345" w:rsidP="00CD734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Общее число компаний в Кыргызстане, которые предоставляют услуги по кибербезопасности не превышает 40-50 субъектов (</w:t>
      </w:r>
      <w:r w:rsidRPr="00CD7345">
        <w:rPr>
          <w:rFonts w:ascii="Roboto" w:eastAsia="Times New Roman" w:hAnsi="Roboto" w:cs="Times New Roman"/>
          <w:i/>
          <w:color w:val="3A4F66"/>
          <w:sz w:val="24"/>
          <w:szCs w:val="24"/>
          <w:bdr w:val="none" w:sz="0" w:space="0" w:color="auto" w:frame="1"/>
        </w:rPr>
        <w:t>по состоянию 28.10.2025г.</w:t>
      </w: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)</w:t>
      </w:r>
    </w:p>
    <w:p w14:paraId="599FFEFA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b/>
          <w:bCs/>
          <w:iCs w:val="0"/>
          <w:color w:val="3A4F66"/>
          <w:sz w:val="24"/>
          <w:szCs w:val="24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6A0593BC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Оценка затрат и выгод субъектов предпринимательства:</w:t>
      </w:r>
    </w:p>
    <w:p w14:paraId="7301881B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— затраты 70 000 000 (сомов);</w:t>
      </w:r>
    </w:p>
    <w:p w14:paraId="1CCF7AD5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— выгоды 2 000 000 000 (сомов).</w:t>
      </w:r>
    </w:p>
    <w:p w14:paraId="5EA7FD24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 xml:space="preserve">В целом усиление кибербезопасности приведет к положительному влиянию на экономику и государственный бюджет в виде развития электронной коммерции, финансовых услуг и электронных государственных сервисов, а также увеличению налогооблагаемой базы за счет повышения прозрачности </w:t>
      </w: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lastRenderedPageBreak/>
        <w:t>экономики. Затраты государства и бизнеса будут связаны с увлечением административных расходов на лицензирование и осуществление лицензионного контроля.</w:t>
      </w:r>
    </w:p>
    <w:p w14:paraId="6DA73E05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b/>
          <w:bCs/>
          <w:iCs w:val="0"/>
          <w:color w:val="3A4F66"/>
          <w:sz w:val="24"/>
          <w:szCs w:val="24"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44032DE4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Оценка затрат и выгод государственного бюджета:</w:t>
      </w:r>
    </w:p>
    <w:p w14:paraId="49046935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— затраты 19 500 000 (сомов);</w:t>
      </w:r>
    </w:p>
    <w:p w14:paraId="4944E6E0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— выгоды 800 000 000 (сомов).</w:t>
      </w:r>
    </w:p>
    <w:p w14:paraId="735A0A4B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Установление законодательного регулирования порядка осуществления деятельности в сфере обеспечения кибербезопасности путем введения механизма лицензирования, принятие соответствующих правовых, организационных и технических мер будет осуществляться в рамках бюджетных ассигнований государственных органов и органов местного самоуправления, предусмотренных в республиканском и местных бюджетах на соответствующий год, а также средств из других источников, не противоречащих законодательству Кыргызской Республики, включая финансовые средства, выделяемые международными организациями-партнерами.</w:t>
      </w:r>
    </w:p>
    <w:p w14:paraId="6049E72A" w14:textId="77777777" w:rsidR="00CD7345" w:rsidRPr="00CD7345" w:rsidRDefault="00CD7345" w:rsidP="00CD7345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b/>
          <w:bCs/>
          <w:iCs w:val="0"/>
          <w:color w:val="3A4F66"/>
          <w:sz w:val="24"/>
          <w:szCs w:val="24"/>
        </w:rPr>
        <w:t>Перечень вопросов для участников публичных консультаций:</w:t>
      </w:r>
    </w:p>
    <w:p w14:paraId="0E362348" w14:textId="77777777" w:rsidR="00CD7345" w:rsidRPr="00CD7345" w:rsidRDefault="00CD7345" w:rsidP="00CD7345">
      <w:pPr>
        <w:numPr>
          <w:ilvl w:val="0"/>
          <w:numId w:val="2"/>
        </w:numPr>
        <w:shd w:val="clear" w:color="auto" w:fill="FFFFFF"/>
        <w:spacing w:after="72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являются ли указанные проблемы верными, требующими решения путем изменения механизма регулирования;</w:t>
      </w:r>
    </w:p>
    <w:p w14:paraId="4DF43FA5" w14:textId="77777777" w:rsidR="00CD7345" w:rsidRPr="00CD7345" w:rsidRDefault="00CD7345" w:rsidP="00CD7345">
      <w:pPr>
        <w:numPr>
          <w:ilvl w:val="0"/>
          <w:numId w:val="2"/>
        </w:numPr>
        <w:shd w:val="clear" w:color="auto" w:fill="FFFFFF"/>
        <w:spacing w:after="72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является ли указанная цель обоснованной, важной для достижения;</w:t>
      </w:r>
    </w:p>
    <w:p w14:paraId="2E3A8984" w14:textId="77777777" w:rsidR="00CD7345" w:rsidRPr="00CD7345" w:rsidRDefault="00CD7345" w:rsidP="00CD7345">
      <w:pPr>
        <w:numPr>
          <w:ilvl w:val="0"/>
          <w:numId w:val="2"/>
        </w:numPr>
        <w:shd w:val="clear" w:color="auto" w:fill="FFFFFF"/>
        <w:spacing w:after="72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является ли предлагаемый способ решения проблем (регулирование) наиболее предпочтительным;</w:t>
      </w:r>
    </w:p>
    <w:p w14:paraId="16BA4800" w14:textId="77777777" w:rsidR="00CD7345" w:rsidRPr="00CD7345" w:rsidRDefault="00CD7345" w:rsidP="00CD7345">
      <w:pPr>
        <w:numPr>
          <w:ilvl w:val="0"/>
          <w:numId w:val="2"/>
        </w:numPr>
        <w:shd w:val="clear" w:color="auto" w:fill="FFFFFF"/>
        <w:spacing w:after="72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какие выгоды и преимущества могут возникнуть в случае принятия предлагаемого механизма регулирования;</w:t>
      </w:r>
    </w:p>
    <w:p w14:paraId="0368E093" w14:textId="77777777" w:rsidR="00CD7345" w:rsidRPr="00CD7345" w:rsidRDefault="00CD7345" w:rsidP="00CD7345">
      <w:pPr>
        <w:numPr>
          <w:ilvl w:val="0"/>
          <w:numId w:val="2"/>
        </w:numPr>
        <w:shd w:val="clear" w:color="auto" w:fill="FFFFFF"/>
        <w:spacing w:after="72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какие риски и негативные последствия могут возникнуть в случае принятия предлагаемого механизма регулирования;</w:t>
      </w:r>
    </w:p>
    <w:p w14:paraId="697C2032" w14:textId="77777777" w:rsidR="00CD7345" w:rsidRPr="00CD7345" w:rsidRDefault="00CD7345" w:rsidP="00CD7345">
      <w:pPr>
        <w:numPr>
          <w:ilvl w:val="0"/>
          <w:numId w:val="2"/>
        </w:numPr>
        <w:shd w:val="clear" w:color="auto" w:fill="FFFFFF"/>
        <w:spacing w:after="72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существуют ли более эффективные альтернативные способы решения определенных проблем;</w:t>
      </w:r>
    </w:p>
    <w:p w14:paraId="59EC123A" w14:textId="77777777" w:rsidR="00CD7345" w:rsidRPr="00CD7345" w:rsidRDefault="00CD7345" w:rsidP="00CD734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iCs w:val="0"/>
          <w:color w:val="3A4F66"/>
          <w:sz w:val="24"/>
          <w:szCs w:val="24"/>
        </w:rPr>
      </w:pPr>
      <w:r w:rsidRPr="00CD7345">
        <w:rPr>
          <w:rFonts w:ascii="Roboto" w:eastAsia="Times New Roman" w:hAnsi="Roboto" w:cs="Times New Roman"/>
          <w:iCs w:val="0"/>
          <w:color w:val="3A4F66"/>
          <w:sz w:val="24"/>
          <w:szCs w:val="24"/>
        </w:rPr>
        <w:t>общее мнение относительно предлагаемого механизма регулирования.</w:t>
      </w:r>
    </w:p>
    <w:p w14:paraId="7AEDB251" w14:textId="77777777" w:rsidR="00E04A10" w:rsidRDefault="00E04A10"/>
    <w:sectPr w:rsidR="00E04A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6A2A"/>
    <w:multiLevelType w:val="multilevel"/>
    <w:tmpl w:val="398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73311">
    <w:abstractNumId w:val="1"/>
  </w:num>
  <w:num w:numId="2" w16cid:durableId="134729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45"/>
    <w:rsid w:val="000008BD"/>
    <w:rsid w:val="00001614"/>
    <w:rsid w:val="001C487C"/>
    <w:rsid w:val="00BC74DB"/>
    <w:rsid w:val="00CD7345"/>
    <w:rsid w:val="00E0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1720F2"/>
  <w15:chartTrackingRefBased/>
  <w15:docId w15:val="{0EDDAF4A-8FB9-004D-9698-779BB473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K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14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61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61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61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61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61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61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61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61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61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614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614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61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61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614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614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614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61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614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161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161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00161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001614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161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001614"/>
    <w:rPr>
      <w:b/>
      <w:bCs/>
      <w:spacing w:val="0"/>
    </w:rPr>
  </w:style>
  <w:style w:type="character" w:styleId="Emphasis">
    <w:name w:val="Emphasis"/>
    <w:uiPriority w:val="20"/>
    <w:qFormat/>
    <w:rsid w:val="0000161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link w:val="NoSpacingChar"/>
    <w:uiPriority w:val="1"/>
    <w:qFormat/>
    <w:rsid w:val="0000161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01614"/>
    <w:rPr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001614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01614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01614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61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61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0161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00161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0161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0161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0161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161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Aisuluu Sydygalieva</dc:creator>
  <cp:keywords/>
  <dc:description/>
  <cp:lastModifiedBy>Aisuluu Sydygalieva</cp:lastModifiedBy>
  <cp:revision>1</cp:revision>
  <dcterms:created xsi:type="dcterms:W3CDTF">2025-11-12T04:24:00Z</dcterms:created>
  <dcterms:modified xsi:type="dcterms:W3CDTF">2025-11-12T04:25:00Z</dcterms:modified>
</cp:coreProperties>
</file>